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10" w:rsidRDefault="00CD1B95">
      <w:pPr>
        <w:pBdr>
          <w:bottom w:val="single" w:sz="6" w:space="1" w:color="auto"/>
        </w:pBdr>
        <w:rPr>
          <w:b/>
          <w:lang w:val="en-GB"/>
        </w:rPr>
      </w:pPr>
      <w:r w:rsidRPr="00CD1B95">
        <w:rPr>
          <w:b/>
          <w:lang w:val="en-GB"/>
        </w:rPr>
        <w:t xml:space="preserve">Lab 1: DC Analysis of </w:t>
      </w:r>
      <w:r w:rsidR="00C11627">
        <w:rPr>
          <w:b/>
          <w:lang w:val="en-GB"/>
        </w:rPr>
        <w:t xml:space="preserve">Bandgap (BG) Voltage Reference </w:t>
      </w:r>
    </w:p>
    <w:p w:rsidR="0020538B" w:rsidRPr="00CD1B95" w:rsidRDefault="0020538B" w:rsidP="0020538B">
      <w:pPr>
        <w:pBdr>
          <w:bottom w:val="single" w:sz="6" w:space="1" w:color="auto"/>
        </w:pBdr>
        <w:rPr>
          <w:b/>
          <w:lang w:val="en-GB"/>
        </w:rPr>
      </w:pPr>
    </w:p>
    <w:p w:rsidR="0020538B" w:rsidRDefault="0020538B" w:rsidP="0020538B">
      <w:pPr>
        <w:rPr>
          <w:lang w:val="en-GB"/>
        </w:rPr>
      </w:pPr>
      <w:r>
        <w:rPr>
          <w:lang w:val="en-GB"/>
        </w:rPr>
        <w:t>Background:</w:t>
      </w:r>
    </w:p>
    <w:p w:rsidR="0020538B" w:rsidRPr="0020538B" w:rsidRDefault="0020538B">
      <w:pPr>
        <w:pBdr>
          <w:bottom w:val="single" w:sz="6" w:space="1" w:color="auto"/>
        </w:pBdr>
        <w:rPr>
          <w:lang w:val="en-GB"/>
        </w:rPr>
      </w:pPr>
      <w:r>
        <w:rPr>
          <w:lang w:val="en-GB"/>
        </w:rPr>
        <w:t xml:space="preserve">Voltage reference and current reference are the necessary blocks in most of the analogue IC. The circuit in Lab1 provides a constant-voltage reference and </w:t>
      </w:r>
      <w:r w:rsidR="00F46ABC">
        <w:rPr>
          <w:lang w:val="en-GB"/>
        </w:rPr>
        <w:t>an</w:t>
      </w:r>
      <w:r>
        <w:rPr>
          <w:lang w:val="en-GB"/>
        </w:rPr>
        <w:t xml:space="preserve"> Iptat. DC simulation will be performed to see the accuracy of voltage and current reference against PVT variation.  </w:t>
      </w:r>
    </w:p>
    <w:p w:rsidR="0020538B" w:rsidRPr="00CD1B95" w:rsidRDefault="0020538B">
      <w:pPr>
        <w:pBdr>
          <w:bottom w:val="single" w:sz="6" w:space="1" w:color="auto"/>
        </w:pBdr>
        <w:rPr>
          <w:b/>
          <w:lang w:val="en-GB"/>
        </w:rPr>
      </w:pPr>
    </w:p>
    <w:p w:rsidR="00CD1B95" w:rsidRDefault="00CD1B95">
      <w:pPr>
        <w:rPr>
          <w:lang w:val="en-GB"/>
        </w:rPr>
      </w:pPr>
      <w:r>
        <w:rPr>
          <w:lang w:val="en-GB"/>
        </w:rPr>
        <w:t>Objectives:</w:t>
      </w:r>
    </w:p>
    <w:p w:rsidR="00C11627" w:rsidRDefault="00C11627" w:rsidP="00C11627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Familiarisation with Schematic Editor: Cadence Composer</w:t>
      </w:r>
    </w:p>
    <w:p w:rsidR="00C11627" w:rsidRDefault="00C11627" w:rsidP="00C11627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Familiarisation wi</w:t>
      </w:r>
      <w:r w:rsidR="00F46ABC">
        <w:rPr>
          <w:lang w:val="en-GB"/>
        </w:rPr>
        <w:t>th Analog Simulator: Cadence Ana</w:t>
      </w:r>
      <w:r>
        <w:rPr>
          <w:lang w:val="en-GB"/>
        </w:rPr>
        <w:t>log Artist</w:t>
      </w:r>
    </w:p>
    <w:p w:rsidR="00C11627" w:rsidRDefault="00C11627" w:rsidP="00C11627">
      <w:pPr>
        <w:pStyle w:val="ListParagraph"/>
        <w:numPr>
          <w:ilvl w:val="0"/>
          <w:numId w:val="1"/>
        </w:numPr>
        <w:pBdr>
          <w:bottom w:val="single" w:sz="6" w:space="1" w:color="auto"/>
        </w:pBdr>
        <w:rPr>
          <w:lang w:val="en-GB"/>
        </w:rPr>
      </w:pPr>
      <w:r>
        <w:rPr>
          <w:lang w:val="en-GB"/>
        </w:rPr>
        <w:t>Familiarisation with DC simulation for a BG Voltage Reference Circuit</w:t>
      </w:r>
    </w:p>
    <w:p w:rsidR="00C11627" w:rsidRDefault="00C11627" w:rsidP="00C11627">
      <w:pPr>
        <w:rPr>
          <w:lang w:val="en-GB"/>
        </w:rPr>
      </w:pPr>
    </w:p>
    <w:p w:rsidR="00C11627" w:rsidRDefault="00C11627" w:rsidP="00C11627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Invoke Cadence Design Software</w:t>
      </w:r>
    </w:p>
    <w:p w:rsidR="00C11627" w:rsidRPr="00C11627" w:rsidRDefault="00C11627" w:rsidP="00C11627">
      <w:pPr>
        <w:pStyle w:val="ListParagraph"/>
        <w:ind w:left="360"/>
        <w:rPr>
          <w:lang w:val="en-GB"/>
        </w:rPr>
      </w:pPr>
    </w:p>
    <w:p w:rsidR="00C11627" w:rsidRDefault="00C11627" w:rsidP="00C11627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Click on the Terminal Window icon to get terminal window. </w:t>
      </w:r>
    </w:p>
    <w:p w:rsidR="00C11627" w:rsidRDefault="00C11627" w:rsidP="00C11627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Type </w:t>
      </w:r>
      <w:r w:rsidRPr="00C11627">
        <w:rPr>
          <w:b/>
          <w:lang w:val="en-GB"/>
        </w:rPr>
        <w:t>cd training</w:t>
      </w:r>
      <w:r>
        <w:rPr>
          <w:lang w:val="en-GB"/>
        </w:rPr>
        <w:t xml:space="preserve"> at the prompt to change the directory to training.</w:t>
      </w:r>
    </w:p>
    <w:p w:rsidR="00C11627" w:rsidRDefault="00C11627" w:rsidP="00C11627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Type </w:t>
      </w:r>
      <w:r w:rsidRPr="002C43AE">
        <w:rPr>
          <w:b/>
          <w:lang w:val="en-GB"/>
        </w:rPr>
        <w:t>source .cshrc_linux</w:t>
      </w:r>
      <w:r>
        <w:rPr>
          <w:lang w:val="en-GB"/>
        </w:rPr>
        <w:t xml:space="preserve"> </w:t>
      </w:r>
    </w:p>
    <w:p w:rsidR="00C11627" w:rsidRDefault="00C11627" w:rsidP="00C11627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Type </w:t>
      </w:r>
      <w:r w:rsidRPr="002C43AE">
        <w:rPr>
          <w:b/>
          <w:lang w:val="en-GB"/>
        </w:rPr>
        <w:t>virtuoso&amp;</w:t>
      </w:r>
    </w:p>
    <w:p w:rsidR="00C11627" w:rsidRDefault="00C11627" w:rsidP="00C11627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The Command Interpreter Window (CIW) </w:t>
      </w:r>
      <w:r w:rsidR="004C14D5">
        <w:rPr>
          <w:lang w:val="en-GB"/>
        </w:rPr>
        <w:t xml:space="preserve">and Library Manager Window </w:t>
      </w:r>
      <w:r w:rsidR="00F46ABC">
        <w:rPr>
          <w:lang w:val="en-GB"/>
        </w:rPr>
        <w:t>appear</w:t>
      </w:r>
      <w:r>
        <w:rPr>
          <w:lang w:val="en-GB"/>
        </w:rPr>
        <w:t xml:space="preserve"> as shown.</w:t>
      </w:r>
    </w:p>
    <w:p w:rsidR="00C11627" w:rsidRDefault="00067E5C" w:rsidP="00067E5C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3380131" cy="4079631"/>
            <wp:effectExtent l="19050" t="0" r="0" b="0"/>
            <wp:docPr id="1" name="Picture 0" descr="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2987" cy="40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5C" w:rsidRPr="00C11627" w:rsidRDefault="00067E5C" w:rsidP="00067E5C">
      <w:pPr>
        <w:jc w:val="center"/>
        <w:rPr>
          <w:lang w:val="en-GB"/>
        </w:rPr>
      </w:pPr>
      <w:r>
        <w:rPr>
          <w:lang w:val="en-GB"/>
        </w:rPr>
        <w:t>Figure 1: CIW and Lib</w:t>
      </w:r>
      <w:r w:rsidR="002C43AE">
        <w:rPr>
          <w:lang w:val="en-GB"/>
        </w:rPr>
        <w:t>rary Manager Window</w:t>
      </w:r>
    </w:p>
    <w:p w:rsidR="00C11627" w:rsidRDefault="002C43AE" w:rsidP="002C43AE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Open the schematic (test bench) of Bandgap Voltage Reference</w:t>
      </w:r>
    </w:p>
    <w:p w:rsidR="002C43AE" w:rsidRDefault="004C14D5" w:rsidP="002C43AE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In the Library Manager, d</w:t>
      </w:r>
      <w:r w:rsidR="002C43AE">
        <w:rPr>
          <w:lang w:val="en-GB"/>
        </w:rPr>
        <w:t xml:space="preserve">ouble-click on </w:t>
      </w:r>
      <w:r w:rsidR="002C43AE" w:rsidRPr="002C43AE">
        <w:rPr>
          <w:b/>
          <w:lang w:val="en-GB"/>
        </w:rPr>
        <w:t>BG_OPAMP/BG_test_DC/Schematic</w:t>
      </w:r>
      <w:r w:rsidR="002C43AE">
        <w:rPr>
          <w:lang w:val="en-GB"/>
        </w:rPr>
        <w:t xml:space="preserve"> as shown in Figure 2. </w:t>
      </w:r>
    </w:p>
    <w:p w:rsidR="002C43AE" w:rsidRDefault="002C43AE" w:rsidP="002C43AE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Click on symbol BG and hit the key ‘</w:t>
      </w:r>
      <w:r w:rsidRPr="002C43AE">
        <w:rPr>
          <w:b/>
          <w:lang w:val="en-GB"/>
        </w:rPr>
        <w:t>E</w:t>
      </w:r>
      <w:r>
        <w:rPr>
          <w:lang w:val="en-GB"/>
        </w:rPr>
        <w:t>’ to descent into the sub-circuit BG.</w:t>
      </w:r>
    </w:p>
    <w:p w:rsidR="002C43AE" w:rsidRDefault="002C43AE" w:rsidP="002C43AE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You could spend some times looking at the details of the circuit.</w:t>
      </w:r>
    </w:p>
    <w:p w:rsidR="002C43AE" w:rsidRDefault="002C43AE" w:rsidP="002C43AE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Hit the key ‘</w:t>
      </w:r>
      <w:r w:rsidRPr="002C43AE">
        <w:rPr>
          <w:b/>
          <w:lang w:val="en-GB"/>
        </w:rPr>
        <w:t>CTRL-E</w:t>
      </w:r>
      <w:r>
        <w:rPr>
          <w:lang w:val="en-GB"/>
        </w:rPr>
        <w:t>’ to go back to the top level schematic.</w:t>
      </w:r>
    </w:p>
    <w:p w:rsidR="002C43AE" w:rsidRDefault="002C43AE" w:rsidP="002C43AE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3363380" cy="3229707"/>
            <wp:effectExtent l="19050" t="0" r="8470" b="0"/>
            <wp:docPr id="2" name="Picture 1" descr="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389" cy="323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AE" w:rsidRDefault="002C43AE" w:rsidP="002C43AE">
      <w:pPr>
        <w:jc w:val="center"/>
        <w:rPr>
          <w:lang w:val="en-GB"/>
        </w:rPr>
      </w:pPr>
      <w:r>
        <w:rPr>
          <w:lang w:val="en-GB"/>
        </w:rPr>
        <w:t>Figure 2 Test Bench of BG Voltage Reference</w:t>
      </w:r>
    </w:p>
    <w:p w:rsidR="002C43AE" w:rsidRDefault="002C43AE" w:rsidP="002C43AE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Launch the Analog Design Environment (ADE)</w:t>
      </w:r>
    </w:p>
    <w:p w:rsidR="002C43AE" w:rsidRPr="00381D48" w:rsidRDefault="002C43AE" w:rsidP="00381D48">
      <w:pPr>
        <w:ind w:left="360"/>
        <w:rPr>
          <w:lang w:val="en-GB"/>
        </w:rPr>
      </w:pPr>
      <w:r w:rsidRPr="00381D48">
        <w:rPr>
          <w:lang w:val="en-GB"/>
        </w:rPr>
        <w:t xml:space="preserve">ADE is the interface for you to set </w:t>
      </w:r>
      <w:r w:rsidR="00F46ABC">
        <w:rPr>
          <w:lang w:val="en-GB"/>
        </w:rPr>
        <w:t>the various parameters</w:t>
      </w:r>
      <w:r w:rsidRPr="00381D48">
        <w:rPr>
          <w:lang w:val="en-GB"/>
        </w:rPr>
        <w:t xml:space="preserve"> required for a simulation. </w:t>
      </w:r>
      <w:r w:rsidR="004C14D5">
        <w:rPr>
          <w:lang w:val="en-GB"/>
        </w:rPr>
        <w:t>In the Schematic Editor Window, c</w:t>
      </w:r>
      <w:r w:rsidRPr="00381D48">
        <w:rPr>
          <w:lang w:val="en-GB"/>
        </w:rPr>
        <w:t xml:space="preserve">lick </w:t>
      </w:r>
      <w:r w:rsidRPr="00381D48">
        <w:rPr>
          <w:b/>
          <w:lang w:val="en-GB"/>
        </w:rPr>
        <w:t>Launch&gt;ADE</w:t>
      </w:r>
      <w:r w:rsidR="00381D48">
        <w:rPr>
          <w:b/>
          <w:lang w:val="en-GB"/>
        </w:rPr>
        <w:t>_</w:t>
      </w:r>
      <w:r w:rsidRPr="00381D48">
        <w:rPr>
          <w:b/>
          <w:lang w:val="en-GB"/>
        </w:rPr>
        <w:t xml:space="preserve"> L</w:t>
      </w:r>
      <w:r w:rsidR="00381D48" w:rsidRPr="00381D48">
        <w:rPr>
          <w:lang w:val="en-GB"/>
        </w:rPr>
        <w:t xml:space="preserve">. ADE is as shown in Figure 3. </w:t>
      </w:r>
    </w:p>
    <w:p w:rsidR="002C43AE" w:rsidRDefault="002C43AE" w:rsidP="00381D48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116873" cy="1981346"/>
            <wp:effectExtent l="19050" t="0" r="7327" b="0"/>
            <wp:docPr id="3" name="Picture 2" descr="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0893" cy="19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8" w:rsidRDefault="00381D48" w:rsidP="002C43AE">
      <w:pPr>
        <w:jc w:val="center"/>
        <w:rPr>
          <w:lang w:val="en-GB"/>
        </w:rPr>
      </w:pPr>
      <w:r>
        <w:rPr>
          <w:lang w:val="en-GB"/>
        </w:rPr>
        <w:t>Figure 3 ADE Window</w:t>
      </w:r>
    </w:p>
    <w:p w:rsidR="00381D48" w:rsidRDefault="00381D48" w:rsidP="00381D48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Setup of Simulation</w:t>
      </w:r>
    </w:p>
    <w:p w:rsidR="00381D48" w:rsidRDefault="00381D48" w:rsidP="00381D48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Click </w:t>
      </w:r>
      <w:r w:rsidRPr="00381D48">
        <w:rPr>
          <w:b/>
          <w:lang w:val="en-GB"/>
        </w:rPr>
        <w:t>Variable&gt;Copy_From_Cellview</w:t>
      </w:r>
      <w:r>
        <w:rPr>
          <w:lang w:val="en-GB"/>
        </w:rPr>
        <w:t>. Double-click on ‘VDD’. Set VDD to 2.5.</w:t>
      </w:r>
    </w:p>
    <w:p w:rsidR="00381D48" w:rsidRPr="00381D48" w:rsidRDefault="00381D48" w:rsidP="00381D48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Click </w:t>
      </w:r>
      <w:r w:rsidRPr="00381D48">
        <w:rPr>
          <w:b/>
          <w:lang w:val="en-GB"/>
        </w:rPr>
        <w:t>Analyses&gt;Choose</w:t>
      </w:r>
      <w:r>
        <w:rPr>
          <w:lang w:val="en-GB"/>
        </w:rPr>
        <w:t xml:space="preserve">. Set up the DC simulation as shown in Figure 4. Click </w:t>
      </w:r>
      <w:r w:rsidRPr="00381D48">
        <w:rPr>
          <w:b/>
          <w:lang w:val="en-GB"/>
        </w:rPr>
        <w:t>OK</w:t>
      </w:r>
      <w:r>
        <w:rPr>
          <w:lang w:val="en-GB"/>
        </w:rPr>
        <w:t xml:space="preserve"> when completed.</w:t>
      </w:r>
    </w:p>
    <w:p w:rsidR="00381D48" w:rsidRDefault="00601DD1" w:rsidP="00381D48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903058" cy="4771293"/>
            <wp:effectExtent l="19050" t="0" r="0" b="0"/>
            <wp:docPr id="10" name="Picture 9" descr="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4033" cy="47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48" w:rsidRDefault="00381D48" w:rsidP="00381D48">
      <w:pPr>
        <w:jc w:val="center"/>
        <w:rPr>
          <w:lang w:val="en-GB"/>
        </w:rPr>
      </w:pPr>
      <w:r>
        <w:rPr>
          <w:lang w:val="en-GB"/>
        </w:rPr>
        <w:t>Figure 4 DC Simulation Setup</w:t>
      </w:r>
    </w:p>
    <w:p w:rsidR="00A934E0" w:rsidRDefault="00A934E0">
      <w:pPr>
        <w:rPr>
          <w:lang w:val="en-GB"/>
        </w:rPr>
      </w:pPr>
      <w:r>
        <w:rPr>
          <w:lang w:val="en-GB"/>
        </w:rPr>
        <w:br w:type="page"/>
      </w:r>
    </w:p>
    <w:p w:rsidR="00D75AB4" w:rsidRDefault="00D75AB4" w:rsidP="00381D48">
      <w:pPr>
        <w:jc w:val="center"/>
        <w:rPr>
          <w:lang w:val="en-GB"/>
        </w:rPr>
      </w:pPr>
    </w:p>
    <w:p w:rsidR="00381D48" w:rsidRDefault="00381D48" w:rsidP="00381D48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Click </w:t>
      </w:r>
      <w:r w:rsidRPr="00831779">
        <w:rPr>
          <w:b/>
          <w:lang w:val="en-GB"/>
        </w:rPr>
        <w:t>Outputs&gt;To_Be_Plotted&gt;Select_On_Schematic</w:t>
      </w:r>
      <w:r>
        <w:rPr>
          <w:lang w:val="en-GB"/>
        </w:rPr>
        <w:t xml:space="preserve">. </w:t>
      </w:r>
      <w:r w:rsidR="00831779">
        <w:rPr>
          <w:lang w:val="en-GB"/>
        </w:rPr>
        <w:t>As shown in Figure 5, c</w:t>
      </w:r>
      <w:r>
        <w:rPr>
          <w:lang w:val="en-GB"/>
        </w:rPr>
        <w:t>lick on VBG, follows by positive-terminal of IPTAT (current probe). Then hit ‘</w:t>
      </w:r>
      <w:r w:rsidRPr="00831779">
        <w:rPr>
          <w:b/>
          <w:lang w:val="en-GB"/>
        </w:rPr>
        <w:t>Esc</w:t>
      </w:r>
      <w:r>
        <w:rPr>
          <w:lang w:val="en-GB"/>
        </w:rPr>
        <w:t xml:space="preserve">’. </w:t>
      </w:r>
    </w:p>
    <w:p w:rsidR="00381D48" w:rsidRDefault="00381D48" w:rsidP="00381D48">
      <w:pPr>
        <w:rPr>
          <w:lang w:val="en-GB"/>
        </w:rPr>
      </w:pPr>
    </w:p>
    <w:p w:rsidR="00381D48" w:rsidRDefault="002F7036" w:rsidP="00831779">
      <w:pPr>
        <w:jc w:val="center"/>
        <w:rPr>
          <w:lang w:val="en-GB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8.65pt;margin-top:137.55pt;width:15.65pt;height:30.9pt;flip:y;z-index:251660288" o:connectortype="straight" strokecolor="white [3212]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290.75pt;margin-top:162pt;width:43.4pt;height:8.75pt;flip:y;z-index:251659264" o:connectortype="straight" strokecolor="white [3212]">
            <v:stroke endarrow="block"/>
          </v:shape>
        </w:pict>
      </w:r>
      <w:r w:rsidR="00381D48">
        <w:rPr>
          <w:noProof/>
        </w:rPr>
        <w:drawing>
          <wp:inline distT="0" distB="0" distL="0" distR="0">
            <wp:extent cx="4176218" cy="3451626"/>
            <wp:effectExtent l="19050" t="0" r="0" b="0"/>
            <wp:docPr id="4" name="Picture 3" descr="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7248" cy="345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79" w:rsidRDefault="00831779" w:rsidP="00831779">
      <w:pPr>
        <w:jc w:val="center"/>
        <w:rPr>
          <w:lang w:val="en-GB"/>
        </w:rPr>
      </w:pPr>
      <w:r>
        <w:rPr>
          <w:lang w:val="en-GB"/>
        </w:rPr>
        <w:t>Figure 5 Selection of Net for plotting</w:t>
      </w:r>
    </w:p>
    <w:p w:rsidR="00A934E0" w:rsidRDefault="00A934E0">
      <w:pPr>
        <w:rPr>
          <w:lang w:val="en-GB"/>
        </w:rPr>
      </w:pPr>
      <w:r>
        <w:rPr>
          <w:lang w:val="en-GB"/>
        </w:rPr>
        <w:br w:type="page"/>
      </w:r>
    </w:p>
    <w:p w:rsidR="00ED11A9" w:rsidRDefault="00ED11A9" w:rsidP="00ED11A9">
      <w:pPr>
        <w:pStyle w:val="ListParagraph"/>
        <w:numPr>
          <w:ilvl w:val="1"/>
          <w:numId w:val="3"/>
        </w:numPr>
        <w:rPr>
          <w:lang w:val="en-GB"/>
        </w:rPr>
      </w:pPr>
      <w:r>
        <w:rPr>
          <w:lang w:val="en-GB"/>
        </w:rPr>
        <w:lastRenderedPageBreak/>
        <w:t xml:space="preserve">If you have problems in set up the simulation, in ADE, click </w:t>
      </w:r>
      <w:r w:rsidRPr="00FE5B71">
        <w:rPr>
          <w:b/>
          <w:lang w:val="en-GB"/>
        </w:rPr>
        <w:t>Session&gt;Load_state</w:t>
      </w:r>
      <w:r>
        <w:rPr>
          <w:lang w:val="en-GB"/>
        </w:rPr>
        <w:t xml:space="preserve"> as shown in Figure 6. For convenience, the simulation setup (state) can be saved </w:t>
      </w:r>
      <w:r w:rsidR="00FE5B71">
        <w:rPr>
          <w:lang w:val="en-GB"/>
        </w:rPr>
        <w:t xml:space="preserve">and recalled </w:t>
      </w:r>
      <w:r>
        <w:rPr>
          <w:lang w:val="en-GB"/>
        </w:rPr>
        <w:t xml:space="preserve">for future use. </w:t>
      </w:r>
    </w:p>
    <w:p w:rsidR="00ED11A9" w:rsidRDefault="00ED11A9" w:rsidP="00ED11A9">
      <w:pPr>
        <w:pStyle w:val="ListParagraph"/>
        <w:rPr>
          <w:lang w:val="en-GB"/>
        </w:rPr>
      </w:pPr>
    </w:p>
    <w:p w:rsidR="00ED11A9" w:rsidRDefault="00ED11A9" w:rsidP="00ED11A9">
      <w:pPr>
        <w:pStyle w:val="ListParagraph"/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2948290" cy="4188857"/>
            <wp:effectExtent l="19050" t="0" r="4460" b="0"/>
            <wp:docPr id="16" name="Picture 15" descr="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0387" cy="419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A9" w:rsidRDefault="00ED11A9" w:rsidP="00ED11A9">
      <w:pPr>
        <w:pStyle w:val="ListParagraph"/>
        <w:jc w:val="center"/>
        <w:rPr>
          <w:lang w:val="en-GB"/>
        </w:rPr>
      </w:pPr>
      <w:r>
        <w:rPr>
          <w:lang w:val="en-GB"/>
        </w:rPr>
        <w:t>Figure 6 Load State</w:t>
      </w:r>
    </w:p>
    <w:p w:rsidR="00ED11A9" w:rsidRDefault="00ED11A9" w:rsidP="00ED11A9">
      <w:pPr>
        <w:pStyle w:val="ListParagraph"/>
        <w:rPr>
          <w:lang w:val="en-GB"/>
        </w:rPr>
      </w:pPr>
    </w:p>
    <w:p w:rsidR="00ED11A9" w:rsidRDefault="00ED11A9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FE5B71" w:rsidRDefault="00FE5B71" w:rsidP="00ED11A9">
      <w:pPr>
        <w:pStyle w:val="ListParagraph"/>
        <w:rPr>
          <w:lang w:val="en-GB"/>
        </w:rPr>
      </w:pPr>
    </w:p>
    <w:p w:rsidR="00A934E0" w:rsidRDefault="00A934E0">
      <w:pPr>
        <w:rPr>
          <w:lang w:val="en-GB"/>
        </w:rPr>
      </w:pPr>
      <w:r>
        <w:rPr>
          <w:lang w:val="en-GB"/>
        </w:rPr>
        <w:br w:type="page"/>
      </w:r>
    </w:p>
    <w:p w:rsidR="00FE5B71" w:rsidRDefault="00FE5B71" w:rsidP="00ED11A9">
      <w:pPr>
        <w:pStyle w:val="ListParagraph"/>
        <w:rPr>
          <w:lang w:val="en-GB"/>
        </w:rPr>
      </w:pPr>
    </w:p>
    <w:p w:rsidR="00ED11A9" w:rsidRPr="00381D48" w:rsidRDefault="00ED11A9" w:rsidP="00ED11A9">
      <w:pPr>
        <w:pStyle w:val="ListParagraph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As shown in Figure 7, click the </w:t>
      </w:r>
      <w:r w:rsidRPr="00831779">
        <w:rPr>
          <w:b/>
          <w:lang w:val="en-GB"/>
        </w:rPr>
        <w:t>green button</w:t>
      </w:r>
      <w:r>
        <w:rPr>
          <w:lang w:val="en-GB"/>
        </w:rPr>
        <w:t xml:space="preserve"> to netlist and simulation the circuit. The progress of the simulation will be </w:t>
      </w:r>
      <w:r w:rsidR="00FE5B71">
        <w:rPr>
          <w:lang w:val="en-GB"/>
        </w:rPr>
        <w:t xml:space="preserve">displayed </w:t>
      </w:r>
      <w:r>
        <w:rPr>
          <w:lang w:val="en-GB"/>
        </w:rPr>
        <w:t xml:space="preserve">as shown on the left side of Figure 7. </w:t>
      </w:r>
    </w:p>
    <w:p w:rsidR="00831779" w:rsidRDefault="002F7036" w:rsidP="00831779">
      <w:pPr>
        <w:jc w:val="center"/>
        <w:rPr>
          <w:lang w:val="en-GB"/>
        </w:rPr>
      </w:pPr>
      <w:r>
        <w:rPr>
          <w:noProof/>
        </w:rPr>
        <w:pict>
          <v:shape id="_x0000_s1026" type="#_x0000_t32" style="position:absolute;left:0;text-align:left;margin-left:367.3pt;margin-top:120.15pt;width:81.25pt;height:6.95pt;flip:x;z-index:251658240" o:connectortype="straight">
            <v:stroke endarrow="block"/>
          </v:shape>
        </w:pict>
      </w:r>
      <w:r w:rsidR="00601DD1">
        <w:rPr>
          <w:noProof/>
        </w:rPr>
        <w:drawing>
          <wp:inline distT="0" distB="0" distL="0" distR="0">
            <wp:extent cx="3399296" cy="2473569"/>
            <wp:effectExtent l="19050" t="0" r="0" b="0"/>
            <wp:docPr id="11" name="Picture 10" descr="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2747" cy="24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79" w:rsidRDefault="00831779" w:rsidP="00831779">
      <w:pPr>
        <w:jc w:val="center"/>
        <w:rPr>
          <w:lang w:val="en-GB"/>
        </w:rPr>
      </w:pPr>
      <w:r>
        <w:rPr>
          <w:lang w:val="en-GB"/>
        </w:rPr>
        <w:t xml:space="preserve">Figure </w:t>
      </w:r>
      <w:r w:rsidR="00ED11A9">
        <w:rPr>
          <w:lang w:val="en-GB"/>
        </w:rPr>
        <w:t>7</w:t>
      </w:r>
      <w:r>
        <w:rPr>
          <w:lang w:val="en-GB"/>
        </w:rPr>
        <w:t xml:space="preserve"> Netlisting and Simulation</w:t>
      </w:r>
    </w:p>
    <w:p w:rsidR="0027622F" w:rsidRDefault="00601DD1" w:rsidP="00601DD1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Plot and Graph</w:t>
      </w:r>
    </w:p>
    <w:p w:rsidR="00601DD1" w:rsidRDefault="00601DD1" w:rsidP="00601DD1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Click on ‘</w:t>
      </w:r>
      <w:r w:rsidRPr="004C14D5">
        <w:rPr>
          <w:b/>
          <w:lang w:val="en-GB"/>
        </w:rPr>
        <w:t>New Subwindow’</w:t>
      </w:r>
      <w:r>
        <w:rPr>
          <w:lang w:val="en-GB"/>
        </w:rPr>
        <w:t xml:space="preserve"> as shown in Figure </w:t>
      </w:r>
      <w:r w:rsidR="00ED11A9">
        <w:rPr>
          <w:lang w:val="en-GB"/>
        </w:rPr>
        <w:t>8</w:t>
      </w:r>
      <w:r>
        <w:rPr>
          <w:lang w:val="en-GB"/>
        </w:rPr>
        <w:t xml:space="preserve">. A new subwindow will be created. </w:t>
      </w:r>
    </w:p>
    <w:p w:rsidR="00601DD1" w:rsidRDefault="00601DD1" w:rsidP="00601DD1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>Click on /IPTAT/PLUS and dra</w:t>
      </w:r>
      <w:r w:rsidR="004C14D5">
        <w:rPr>
          <w:lang w:val="en-GB"/>
        </w:rPr>
        <w:t>g</w:t>
      </w:r>
      <w:r>
        <w:rPr>
          <w:lang w:val="en-GB"/>
        </w:rPr>
        <w:t xml:space="preserve"> it to the new subwindow.</w:t>
      </w:r>
    </w:p>
    <w:p w:rsidR="00601DD1" w:rsidRDefault="002F7036" w:rsidP="00601DD1">
      <w:pPr>
        <w:jc w:val="center"/>
        <w:rPr>
          <w:lang w:val="en-GB"/>
        </w:rPr>
      </w:pPr>
      <w:r>
        <w:rPr>
          <w:noProof/>
        </w:rPr>
        <w:pict>
          <v:shape id="_x0000_s1030" type="#_x0000_t32" style="position:absolute;left:0;text-align:left;margin-left:379.9pt;margin-top:8.7pt;width:39.7pt;height:21.7pt;flip:x y;z-index:25166233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127.4pt;margin-top:26.45pt;width:39.7pt;height:21.7pt;flip:x y;z-index:251661312" o:connectortype="straight">
            <v:stroke endarrow="block"/>
          </v:shape>
        </w:pict>
      </w:r>
      <w:r w:rsidR="00601DD1">
        <w:rPr>
          <w:noProof/>
        </w:rPr>
        <w:drawing>
          <wp:inline distT="0" distB="0" distL="0" distR="0">
            <wp:extent cx="3790765" cy="2716310"/>
            <wp:effectExtent l="19050" t="0" r="185" b="0"/>
            <wp:docPr id="12" name="Picture 11" descr="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700" cy="27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D1" w:rsidRDefault="00601DD1" w:rsidP="00601DD1">
      <w:pPr>
        <w:jc w:val="center"/>
        <w:rPr>
          <w:lang w:val="en-GB"/>
        </w:rPr>
      </w:pPr>
      <w:r>
        <w:rPr>
          <w:lang w:val="en-GB"/>
        </w:rPr>
        <w:t xml:space="preserve">Figure </w:t>
      </w:r>
      <w:r w:rsidR="00ED11A9">
        <w:rPr>
          <w:lang w:val="en-GB"/>
        </w:rPr>
        <w:t>8</w:t>
      </w:r>
      <w:r>
        <w:rPr>
          <w:lang w:val="en-GB"/>
        </w:rPr>
        <w:t xml:space="preserve"> Result</w:t>
      </w:r>
    </w:p>
    <w:p w:rsidR="00601DD1" w:rsidRDefault="00601DD1" w:rsidP="00601DD1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It is shown that VBG is relatively constant with respect to the temperature. As for the IPTAT, it is proportional to absolute temperature (PTAT). </w:t>
      </w:r>
      <w:r w:rsidR="002171E3">
        <w:rPr>
          <w:lang w:val="en-GB"/>
        </w:rPr>
        <w:t>Click on the cross (Figure 7) to close the window.</w:t>
      </w:r>
    </w:p>
    <w:p w:rsidR="00A934E0" w:rsidRDefault="00A934E0" w:rsidP="00A934E0">
      <w:pPr>
        <w:pStyle w:val="ListParagraph"/>
        <w:ind w:left="360"/>
        <w:rPr>
          <w:lang w:val="en-GB"/>
        </w:rPr>
      </w:pPr>
    </w:p>
    <w:p w:rsidR="002171E3" w:rsidRDefault="002171E3" w:rsidP="002171E3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lastRenderedPageBreak/>
        <w:t>Parametric Sweep</w:t>
      </w:r>
    </w:p>
    <w:p w:rsidR="002171E3" w:rsidRPr="002171E3" w:rsidRDefault="002171E3" w:rsidP="002171E3">
      <w:pPr>
        <w:pStyle w:val="ListParagraph"/>
        <w:numPr>
          <w:ilvl w:val="1"/>
          <w:numId w:val="3"/>
        </w:numPr>
        <w:ind w:left="720"/>
        <w:rPr>
          <w:lang w:val="en-GB"/>
        </w:rPr>
      </w:pPr>
      <w:r w:rsidRPr="002171E3">
        <w:rPr>
          <w:lang w:val="en-GB"/>
        </w:rPr>
        <w:t xml:space="preserve">In ADE, click </w:t>
      </w:r>
      <w:r w:rsidRPr="00D75AB4">
        <w:rPr>
          <w:b/>
          <w:lang w:val="en-GB"/>
        </w:rPr>
        <w:t>Tools&gt;Parametric_Analysis</w:t>
      </w:r>
      <w:r w:rsidRPr="002171E3">
        <w:rPr>
          <w:lang w:val="en-GB"/>
        </w:rPr>
        <w:t>. Set up the param</w:t>
      </w:r>
      <w:r w:rsidR="003122AF">
        <w:rPr>
          <w:lang w:val="en-GB"/>
        </w:rPr>
        <w:t>etric sweep as shown in Figure 9</w:t>
      </w:r>
      <w:r w:rsidRPr="002171E3">
        <w:rPr>
          <w:lang w:val="en-GB"/>
        </w:rPr>
        <w:t xml:space="preserve">. Click </w:t>
      </w:r>
      <w:r w:rsidRPr="00D75AB4">
        <w:rPr>
          <w:b/>
          <w:lang w:val="en-GB"/>
        </w:rPr>
        <w:t>Analysis&gt;Start</w:t>
      </w:r>
      <w:r w:rsidRPr="002171E3">
        <w:rPr>
          <w:lang w:val="en-GB"/>
        </w:rPr>
        <w:t xml:space="preserve"> to launch the simulation. </w:t>
      </w:r>
    </w:p>
    <w:p w:rsidR="002171E3" w:rsidRDefault="00545E12" w:rsidP="00545E12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985847" cy="1720387"/>
            <wp:effectExtent l="19050" t="0" r="0" b="0"/>
            <wp:docPr id="19" name="Picture 18" descr="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6830" cy="172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E3" w:rsidRDefault="003122AF" w:rsidP="002171E3">
      <w:pPr>
        <w:jc w:val="center"/>
        <w:rPr>
          <w:lang w:val="en-GB"/>
        </w:rPr>
      </w:pPr>
      <w:r>
        <w:rPr>
          <w:lang w:val="en-GB"/>
        </w:rPr>
        <w:t>Figure 9</w:t>
      </w:r>
      <w:r w:rsidR="002171E3">
        <w:rPr>
          <w:lang w:val="en-GB"/>
        </w:rPr>
        <w:t xml:space="preserve"> Setup of parametric sweep</w:t>
      </w:r>
    </w:p>
    <w:p w:rsidR="00A934E0" w:rsidRDefault="00A934E0" w:rsidP="002171E3">
      <w:pPr>
        <w:jc w:val="center"/>
        <w:rPr>
          <w:lang w:val="en-GB"/>
        </w:rPr>
      </w:pPr>
    </w:p>
    <w:p w:rsidR="00601DD1" w:rsidRDefault="002171E3" w:rsidP="002171E3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4296508" cy="3052999"/>
            <wp:effectExtent l="19050" t="0" r="8792" b="0"/>
            <wp:docPr id="15" name="Picture 14" descr="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567" cy="30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E3" w:rsidRDefault="002171E3" w:rsidP="002171E3">
      <w:pPr>
        <w:jc w:val="center"/>
        <w:rPr>
          <w:lang w:val="en-GB"/>
        </w:rPr>
      </w:pPr>
      <w:r>
        <w:rPr>
          <w:lang w:val="en-GB"/>
        </w:rPr>
        <w:t xml:space="preserve">Figure </w:t>
      </w:r>
      <w:r w:rsidR="003122AF">
        <w:rPr>
          <w:lang w:val="en-GB"/>
        </w:rPr>
        <w:t>10</w:t>
      </w:r>
      <w:r>
        <w:rPr>
          <w:lang w:val="en-GB"/>
        </w:rPr>
        <w:t xml:space="preserve"> Result after parametric sweep</w:t>
      </w:r>
    </w:p>
    <w:p w:rsidR="002171E3" w:rsidRDefault="004C14D5" w:rsidP="002171E3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Create a new subwindow and drag all the current waveform to it. </w:t>
      </w:r>
      <w:r w:rsidR="00D75AB4">
        <w:rPr>
          <w:lang w:val="en-GB"/>
        </w:rPr>
        <w:t>As shown in Figure 10</w:t>
      </w:r>
      <w:r w:rsidR="002171E3">
        <w:rPr>
          <w:lang w:val="en-GB"/>
        </w:rPr>
        <w:t>, VBG and IPTAT vary with VDD</w:t>
      </w:r>
      <w:r w:rsidR="002171E3" w:rsidRPr="002171E3">
        <w:rPr>
          <w:lang w:val="en-GB"/>
        </w:rPr>
        <w:t>.</w:t>
      </w:r>
      <w:r w:rsidR="002171E3">
        <w:rPr>
          <w:lang w:val="en-GB"/>
        </w:rPr>
        <w:t xml:space="preserve"> This implies there is some </w:t>
      </w:r>
      <w:r w:rsidR="00D75AB4">
        <w:rPr>
          <w:lang w:val="en-GB"/>
        </w:rPr>
        <w:t xml:space="preserve">finite </w:t>
      </w:r>
      <w:r w:rsidR="002171E3">
        <w:rPr>
          <w:lang w:val="en-GB"/>
        </w:rPr>
        <w:t>amount of PSRR.</w:t>
      </w:r>
      <w:r w:rsidR="002171E3" w:rsidRPr="002171E3">
        <w:rPr>
          <w:lang w:val="en-GB"/>
        </w:rPr>
        <w:t xml:space="preserve"> </w:t>
      </w:r>
    </w:p>
    <w:p w:rsidR="002171E3" w:rsidRDefault="002171E3" w:rsidP="002171E3">
      <w:pPr>
        <w:pStyle w:val="ListParagraph"/>
        <w:ind w:left="360"/>
        <w:rPr>
          <w:lang w:val="en-GB"/>
        </w:rPr>
      </w:pPr>
    </w:p>
    <w:p w:rsidR="00D75AB4" w:rsidRDefault="00D75AB4" w:rsidP="002171E3">
      <w:pPr>
        <w:pStyle w:val="ListParagraph"/>
        <w:ind w:left="360"/>
        <w:rPr>
          <w:lang w:val="en-GB"/>
        </w:rPr>
      </w:pPr>
    </w:p>
    <w:p w:rsidR="00D75AB4" w:rsidRDefault="00D75AB4" w:rsidP="002171E3">
      <w:pPr>
        <w:pStyle w:val="ListParagraph"/>
        <w:ind w:left="360"/>
        <w:rPr>
          <w:lang w:val="en-GB"/>
        </w:rPr>
      </w:pPr>
    </w:p>
    <w:p w:rsidR="00D75AB4" w:rsidRDefault="00D75AB4" w:rsidP="002171E3">
      <w:pPr>
        <w:pStyle w:val="ListParagraph"/>
        <w:ind w:left="360"/>
        <w:rPr>
          <w:lang w:val="en-GB"/>
        </w:rPr>
      </w:pPr>
    </w:p>
    <w:p w:rsidR="00D75AB4" w:rsidRDefault="00D75AB4" w:rsidP="002171E3">
      <w:pPr>
        <w:pStyle w:val="ListParagraph"/>
        <w:ind w:left="360"/>
        <w:rPr>
          <w:lang w:val="en-GB"/>
        </w:rPr>
      </w:pPr>
    </w:p>
    <w:p w:rsidR="00D75AB4" w:rsidRDefault="00D75AB4" w:rsidP="002171E3">
      <w:pPr>
        <w:pStyle w:val="ListParagraph"/>
        <w:ind w:left="360"/>
        <w:rPr>
          <w:lang w:val="en-GB"/>
        </w:rPr>
      </w:pPr>
    </w:p>
    <w:p w:rsidR="00D75AB4" w:rsidRPr="002171E3" w:rsidRDefault="00D75AB4" w:rsidP="002171E3">
      <w:pPr>
        <w:pStyle w:val="ListParagraph"/>
        <w:ind w:left="360"/>
        <w:rPr>
          <w:lang w:val="en-GB"/>
        </w:rPr>
      </w:pPr>
    </w:p>
    <w:p w:rsidR="002171E3" w:rsidRDefault="003122AF" w:rsidP="002171E3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Process Corner</w:t>
      </w:r>
    </w:p>
    <w:p w:rsidR="003122AF" w:rsidRDefault="003122AF" w:rsidP="003122AF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In ADE, click </w:t>
      </w:r>
      <w:r w:rsidRPr="00D75AB4">
        <w:rPr>
          <w:b/>
          <w:lang w:val="en-GB"/>
        </w:rPr>
        <w:t>Setup&gt;Model_Libraries</w:t>
      </w:r>
      <w:r>
        <w:rPr>
          <w:lang w:val="en-GB"/>
        </w:rPr>
        <w:t>. Click on ‘</w:t>
      </w:r>
      <w:r w:rsidRPr="00D75AB4">
        <w:rPr>
          <w:b/>
          <w:lang w:val="en-GB"/>
        </w:rPr>
        <w:t>NN</w:t>
      </w:r>
      <w:r>
        <w:rPr>
          <w:lang w:val="en-GB"/>
        </w:rPr>
        <w:t>’ of Section (Figure 11). ‘NN’</w:t>
      </w:r>
      <w:r w:rsidR="000E3589">
        <w:rPr>
          <w:lang w:val="en-GB"/>
        </w:rPr>
        <w:t xml:space="preserve"> stand for nominal PMOS and nominal NMOS. Select ‘</w:t>
      </w:r>
      <w:r w:rsidR="000E3589" w:rsidRPr="00D75AB4">
        <w:rPr>
          <w:b/>
          <w:lang w:val="en-GB"/>
        </w:rPr>
        <w:t>SS</w:t>
      </w:r>
      <w:r w:rsidR="000E3589">
        <w:rPr>
          <w:lang w:val="en-GB"/>
        </w:rPr>
        <w:t xml:space="preserve">’ and click </w:t>
      </w:r>
      <w:r w:rsidR="000E3589" w:rsidRPr="00D75AB4">
        <w:rPr>
          <w:b/>
          <w:lang w:val="en-GB"/>
        </w:rPr>
        <w:t>OK</w:t>
      </w:r>
      <w:r w:rsidR="000E3589">
        <w:rPr>
          <w:lang w:val="en-GB"/>
        </w:rPr>
        <w:t xml:space="preserve">. </w:t>
      </w:r>
    </w:p>
    <w:p w:rsidR="000E3589" w:rsidRDefault="000E3589" w:rsidP="003122AF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In Parametric Analysis Window (Figure 9), click </w:t>
      </w:r>
      <w:r w:rsidRPr="00D75AB4">
        <w:rPr>
          <w:b/>
          <w:lang w:val="en-GB"/>
        </w:rPr>
        <w:t>Analysis&gt;Start</w:t>
      </w:r>
      <w:r>
        <w:rPr>
          <w:lang w:val="en-GB"/>
        </w:rPr>
        <w:t xml:space="preserve"> to launch simulation. </w:t>
      </w:r>
    </w:p>
    <w:p w:rsidR="000E3589" w:rsidRDefault="000E3589" w:rsidP="003122AF">
      <w:pPr>
        <w:pStyle w:val="ListParagraph"/>
        <w:numPr>
          <w:ilvl w:val="1"/>
          <w:numId w:val="3"/>
        </w:numPr>
        <w:ind w:left="720"/>
        <w:rPr>
          <w:lang w:val="en-GB"/>
        </w:rPr>
      </w:pPr>
      <w:r>
        <w:rPr>
          <w:lang w:val="en-GB"/>
        </w:rPr>
        <w:t xml:space="preserve">It can be observed that different process corner of components will give you different result (Figure 12). </w:t>
      </w:r>
    </w:p>
    <w:p w:rsidR="00545E12" w:rsidRPr="003122AF" w:rsidRDefault="00545E12" w:rsidP="00545E12">
      <w:pPr>
        <w:pStyle w:val="ListParagraph"/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786554" cy="1563572"/>
            <wp:effectExtent l="19050" t="0" r="4396" b="0"/>
            <wp:docPr id="21" name="Picture 20" descr="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7488" cy="15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AF" w:rsidRDefault="003122AF" w:rsidP="003122AF">
      <w:pPr>
        <w:jc w:val="center"/>
        <w:rPr>
          <w:lang w:val="en-GB"/>
        </w:rPr>
      </w:pPr>
      <w:r>
        <w:rPr>
          <w:lang w:val="en-GB"/>
        </w:rPr>
        <w:t>Figure 11 Setup of simulation model</w:t>
      </w:r>
    </w:p>
    <w:p w:rsidR="00545E12" w:rsidRDefault="00545E12" w:rsidP="003122AF">
      <w:pPr>
        <w:jc w:val="center"/>
        <w:rPr>
          <w:lang w:val="en-GB"/>
        </w:rPr>
      </w:pPr>
    </w:p>
    <w:p w:rsidR="003122AF" w:rsidRDefault="000E3589" w:rsidP="000E3589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4296508" cy="3052999"/>
            <wp:effectExtent l="19050" t="0" r="8792" b="0"/>
            <wp:docPr id="18" name="Picture 17" descr="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7567" cy="30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89" w:rsidRDefault="000E3589" w:rsidP="000E3589">
      <w:pPr>
        <w:jc w:val="center"/>
        <w:rPr>
          <w:lang w:val="en-GB"/>
        </w:rPr>
      </w:pPr>
      <w:r>
        <w:rPr>
          <w:lang w:val="en-GB"/>
        </w:rPr>
        <w:t>Figure 12 Result for different process corner</w:t>
      </w:r>
    </w:p>
    <w:p w:rsidR="00601DD1" w:rsidRPr="00601DD1" w:rsidRDefault="00601DD1" w:rsidP="00601DD1">
      <w:pPr>
        <w:rPr>
          <w:lang w:val="en-GB"/>
        </w:rPr>
      </w:pPr>
    </w:p>
    <w:p w:rsidR="00601DD1" w:rsidRPr="00601DD1" w:rsidRDefault="00601DD1" w:rsidP="00601DD1">
      <w:pPr>
        <w:ind w:left="1440"/>
        <w:jc w:val="both"/>
        <w:rPr>
          <w:lang w:val="en-GB"/>
        </w:rPr>
      </w:pPr>
    </w:p>
    <w:sectPr w:rsidR="00601DD1" w:rsidRPr="00601DD1" w:rsidSect="007A06B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5A6" w:rsidRDefault="005965A6" w:rsidP="00CD1B95">
      <w:pPr>
        <w:spacing w:after="0" w:line="240" w:lineRule="auto"/>
      </w:pPr>
      <w:r>
        <w:separator/>
      </w:r>
    </w:p>
  </w:endnote>
  <w:endnote w:type="continuationSeparator" w:id="0">
    <w:p w:rsidR="005965A6" w:rsidRDefault="005965A6" w:rsidP="00CD1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B95" w:rsidRDefault="00CD1B9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BG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46ABC" w:rsidRPr="00F46ABC">
        <w:rPr>
          <w:rFonts w:asciiTheme="majorHAnsi" w:hAnsiTheme="majorHAnsi"/>
          <w:noProof/>
        </w:rPr>
        <w:t>1</w:t>
      </w:r>
    </w:fldSimple>
  </w:p>
  <w:p w:rsidR="00CD1B95" w:rsidRDefault="00CD1B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5A6" w:rsidRDefault="005965A6" w:rsidP="00CD1B95">
      <w:pPr>
        <w:spacing w:after="0" w:line="240" w:lineRule="auto"/>
      </w:pPr>
      <w:r>
        <w:separator/>
      </w:r>
    </w:p>
  </w:footnote>
  <w:footnote w:type="continuationSeparator" w:id="0">
    <w:p w:rsidR="005965A6" w:rsidRDefault="005965A6" w:rsidP="00CD1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E6246"/>
    <w:multiLevelType w:val="hybridMultilevel"/>
    <w:tmpl w:val="4CF83E1A"/>
    <w:lvl w:ilvl="0" w:tplc="CC162754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9D2771"/>
    <w:multiLevelType w:val="hybridMultilevel"/>
    <w:tmpl w:val="8FDA3AA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854ABA"/>
    <w:multiLevelType w:val="hybridMultilevel"/>
    <w:tmpl w:val="0C7AE2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A84A3F"/>
    <w:multiLevelType w:val="hybridMultilevel"/>
    <w:tmpl w:val="BDE0D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BC5D5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29C257D"/>
    <w:multiLevelType w:val="hybridMultilevel"/>
    <w:tmpl w:val="1CA67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AE4D0F"/>
    <w:multiLevelType w:val="hybridMultilevel"/>
    <w:tmpl w:val="EC48189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D0A58"/>
    <w:rsid w:val="00067E5C"/>
    <w:rsid w:val="000E3589"/>
    <w:rsid w:val="0010272C"/>
    <w:rsid w:val="0020538B"/>
    <w:rsid w:val="002171E3"/>
    <w:rsid w:val="0027622F"/>
    <w:rsid w:val="002C43AE"/>
    <w:rsid w:val="002C487C"/>
    <w:rsid w:val="002F7036"/>
    <w:rsid w:val="00311C0F"/>
    <w:rsid w:val="003122AF"/>
    <w:rsid w:val="003374B9"/>
    <w:rsid w:val="00381D48"/>
    <w:rsid w:val="003D3166"/>
    <w:rsid w:val="004C14D5"/>
    <w:rsid w:val="00545E12"/>
    <w:rsid w:val="005965A6"/>
    <w:rsid w:val="00601DD1"/>
    <w:rsid w:val="0063116A"/>
    <w:rsid w:val="0065557D"/>
    <w:rsid w:val="00695964"/>
    <w:rsid w:val="006B3FC6"/>
    <w:rsid w:val="007A06BA"/>
    <w:rsid w:val="007B1059"/>
    <w:rsid w:val="007F4A64"/>
    <w:rsid w:val="00831779"/>
    <w:rsid w:val="008F6CC3"/>
    <w:rsid w:val="00952E42"/>
    <w:rsid w:val="009A3BEC"/>
    <w:rsid w:val="009D0A58"/>
    <w:rsid w:val="00A934E0"/>
    <w:rsid w:val="00BB58FA"/>
    <w:rsid w:val="00C11627"/>
    <w:rsid w:val="00CD1B95"/>
    <w:rsid w:val="00D75AB4"/>
    <w:rsid w:val="00D979E3"/>
    <w:rsid w:val="00E459AC"/>
    <w:rsid w:val="00ED11A9"/>
    <w:rsid w:val="00F30242"/>
    <w:rsid w:val="00F44EDE"/>
    <w:rsid w:val="00F46ABC"/>
    <w:rsid w:val="00FE5B71"/>
    <w:rsid w:val="00FF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29"/>
        <o:r id="V:Rule7" type="connector" idref="#_x0000_s1026"/>
        <o:r id="V:Rule8" type="connector" idref="#_x0000_s1027"/>
        <o:r id="V:Rule9" type="connector" idref="#_x0000_s1028"/>
        <o:r id="V:Rule10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D1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1B95"/>
  </w:style>
  <w:style w:type="paragraph" w:styleId="Footer">
    <w:name w:val="footer"/>
    <w:basedOn w:val="Normal"/>
    <w:link w:val="FooterChar"/>
    <w:uiPriority w:val="99"/>
    <w:unhideWhenUsed/>
    <w:rsid w:val="00CD1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B95"/>
  </w:style>
  <w:style w:type="paragraph" w:styleId="BalloonText">
    <w:name w:val="Balloon Text"/>
    <w:basedOn w:val="Normal"/>
    <w:link w:val="BalloonTextChar"/>
    <w:uiPriority w:val="99"/>
    <w:semiHidden/>
    <w:unhideWhenUsed/>
    <w:rsid w:val="00CD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B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6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0458C-490F-4709-9561-A832F7EF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Nanyang Polytechnic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 Teck</dc:creator>
  <cp:keywords/>
  <dc:description/>
  <cp:lastModifiedBy>See Teck</cp:lastModifiedBy>
  <cp:revision>25</cp:revision>
  <cp:lastPrinted>2010-03-11T05:42:00Z</cp:lastPrinted>
  <dcterms:created xsi:type="dcterms:W3CDTF">2010-03-11T03:20:00Z</dcterms:created>
  <dcterms:modified xsi:type="dcterms:W3CDTF">2010-03-26T01:20:00Z</dcterms:modified>
</cp:coreProperties>
</file>